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A0C" w:rsidRDefault="00E9202B" w:rsidP="00C36A0C">
      <w:r w:rsidRPr="00C4131E">
        <w:rPr>
          <w:b/>
          <w:noProof/>
          <w:sz w:val="36"/>
          <w:szCs w:val="36"/>
          <w:lang w:eastAsia="en-GB"/>
        </w:rPr>
        <mc:AlternateContent>
          <mc:Choice Requires="wps">
            <w:drawing>
              <wp:anchor distT="45720" distB="45720" distL="114300" distR="114300" simplePos="0" relativeHeight="251663360" behindDoc="0" locked="0" layoutInCell="1" allowOverlap="1" wp14:anchorId="35BF4A9A" wp14:editId="069DBCAE">
                <wp:simplePos x="0" y="0"/>
                <wp:positionH relativeFrom="page">
                  <wp:posOffset>6096000</wp:posOffset>
                </wp:positionH>
                <wp:positionV relativeFrom="paragraph">
                  <wp:posOffset>0</wp:posOffset>
                </wp:positionV>
                <wp:extent cx="1304925" cy="12192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1219200"/>
                        </a:xfrm>
                        <a:prstGeom prst="rect">
                          <a:avLst/>
                        </a:prstGeom>
                        <a:solidFill>
                          <a:srgbClr val="FFFFFF"/>
                        </a:solidFill>
                        <a:ln w="9525">
                          <a:solidFill>
                            <a:srgbClr val="000000"/>
                          </a:solidFill>
                          <a:miter lim="800000"/>
                          <a:headEnd/>
                          <a:tailEnd/>
                        </a:ln>
                      </wps:spPr>
                      <wps:txbx>
                        <w:txbxContent>
                          <w:p w:rsidR="00E9202B" w:rsidRDefault="00E9202B" w:rsidP="00E9202B">
                            <w:pPr>
                              <w:jc w:val="center"/>
                            </w:pPr>
                            <w:r>
                              <w:rPr>
                                <w:rFonts w:ascii="Calibri" w:hAnsi="Calibri"/>
                                <w:b/>
                                <w:bCs/>
                                <w:noProof/>
                                <w:sz w:val="44"/>
                                <w:szCs w:val="44"/>
                                <w:lang w:eastAsia="en-GB"/>
                              </w:rPr>
                              <w:drawing>
                                <wp:inline distT="0" distB="0" distL="0" distR="0" wp14:anchorId="7991E959" wp14:editId="6DB1F1CB">
                                  <wp:extent cx="846378" cy="10471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0754" cy="1064901"/>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BF4A9A" id="_x0000_t202" coordsize="21600,21600" o:spt="202" path="m,l,21600r21600,l21600,xe">
                <v:stroke joinstyle="miter"/>
                <v:path gradientshapeok="t" o:connecttype="rect"/>
              </v:shapetype>
              <v:shape id="Text Box 2" o:spid="_x0000_s1026" type="#_x0000_t202" style="position:absolute;margin-left:480pt;margin-top:0;width:102.75pt;height:96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">
                <v:textbox>
                  <w:txbxContent>
                    <w:p w:rsidR="00E9202B" w:rsidRDefault="00E9202B" w:rsidP="00E9202B">
                      <w:pPr>
                        <w:jc w:val="center"/>
                      </w:pPr>
                      <w:r>
                        <w:rPr>
                          <w:rFonts w:ascii="Calibri" w:hAnsi="Calibri"/>
                          <w:b/>
                          <w:bCs/>
                          <w:noProof/>
                          <w:sz w:val="44"/>
                          <w:szCs w:val="44"/>
                          <w:lang w:eastAsia="en-GB"/>
                        </w:rPr>
                        <w:drawing>
                          <wp:inline distT="0" distB="0" distL="0" distR="0" wp14:anchorId="7991E959" wp14:editId="6DB1F1CB">
                            <wp:extent cx="846378" cy="10471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0754" cy="1064901"/>
                                    </a:xfrm>
                                    <a:prstGeom prst="rect">
                                      <a:avLst/>
                                    </a:prstGeom>
                                    <a:noFill/>
                                  </pic:spPr>
                                </pic:pic>
                              </a:graphicData>
                            </a:graphic>
                          </wp:inline>
                        </w:drawing>
                      </w:r>
                    </w:p>
                  </w:txbxContent>
                </v:textbox>
                <w10:wrap type="square" anchorx="page"/>
              </v:shape>
            </w:pict>
          </mc:Fallback>
        </mc:AlternateContent>
      </w:r>
      <w:r w:rsidRPr="00C4131E">
        <w:rPr>
          <w:b/>
          <w:noProof/>
          <w:sz w:val="48"/>
          <w:szCs w:val="48"/>
          <w:lang w:eastAsia="en-GB"/>
        </w:rPr>
        <mc:AlternateContent>
          <mc:Choice Requires="wps">
            <w:drawing>
              <wp:anchor distT="0" distB="0" distL="114300" distR="114300" simplePos="0" relativeHeight="251661312" behindDoc="0" locked="0" layoutInCell="1" allowOverlap="1" wp14:anchorId="42728D27" wp14:editId="3F9DF7BF">
                <wp:simplePos x="0" y="0"/>
                <wp:positionH relativeFrom="page">
                  <wp:posOffset>95249</wp:posOffset>
                </wp:positionH>
                <wp:positionV relativeFrom="paragraph">
                  <wp:posOffset>-828675</wp:posOffset>
                </wp:positionV>
                <wp:extent cx="7324725" cy="10287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4725" cy="1028700"/>
                        </a:xfrm>
                        <a:prstGeom prst="rect">
                          <a:avLst/>
                        </a:prstGeom>
                        <a:noFill/>
                        <a:ln w="9525">
                          <a:noFill/>
                          <a:miter lim="800000"/>
                          <a:headEnd/>
                          <a:tailEnd/>
                        </a:ln>
                      </wps:spPr>
                      <wps:txbx>
                        <w:txbxContent>
                          <w:p w:rsidR="002344FD" w:rsidRPr="00E9202B" w:rsidRDefault="002344FD" w:rsidP="00B25851">
                            <w:pPr>
                              <w:spacing w:line="240" w:lineRule="auto"/>
                              <w:rPr>
                                <w:rFonts w:ascii="Elephant" w:hAnsi="Elephant"/>
                                <w:b/>
                                <w:color w:val="FFFFFF" w:themeColor="background1"/>
                                <w:spacing w:val="40"/>
                                <w:sz w:val="52"/>
                                <w:szCs w:val="52"/>
                              </w:rPr>
                            </w:pPr>
                            <w:r w:rsidRPr="00E9202B">
                              <w:rPr>
                                <w:rFonts w:ascii="Elephant" w:hAnsi="Elephant"/>
                                <w:b/>
                                <w:color w:val="FFFFFF" w:themeColor="background1"/>
                                <w:spacing w:val="40"/>
                                <w:sz w:val="52"/>
                                <w:szCs w:val="52"/>
                              </w:rPr>
                              <w:t>South Dartmoor</w:t>
                            </w:r>
                            <w:r w:rsidR="00CC795B">
                              <w:rPr>
                                <w:rFonts w:ascii="Elephant" w:hAnsi="Elephant"/>
                                <w:b/>
                                <w:color w:val="FFFFFF" w:themeColor="background1"/>
                                <w:spacing w:val="40"/>
                                <w:sz w:val="52"/>
                                <w:szCs w:val="52"/>
                              </w:rPr>
                              <w:t xml:space="preserve"> – Supporting Transgender Children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728D27" id="_x0000_s1027" type="#_x0000_t202" style="position:absolute;margin-left:7.5pt;margin-top:-65.25pt;width:576.75pt;height:8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" filled="f" stroked="f">
                <v:textbox>
                  <w:txbxContent>
                    <w:p w:rsidR="002344FD" w:rsidRPr="00E9202B" w:rsidRDefault="002344FD" w:rsidP="00B25851">
                      <w:pPr>
                        <w:spacing w:line="240" w:lineRule="auto"/>
                        <w:rPr>
                          <w:rFonts w:ascii="Elephant" w:hAnsi="Elephant"/>
                          <w:b/>
                          <w:color w:val="FFFFFF" w:themeColor="background1"/>
                          <w:spacing w:val="40"/>
                          <w:sz w:val="52"/>
                          <w:szCs w:val="52"/>
                        </w:rPr>
                      </w:pPr>
                      <w:r w:rsidRPr="00E9202B">
                        <w:rPr>
                          <w:rFonts w:ascii="Elephant" w:hAnsi="Elephant"/>
                          <w:b/>
                          <w:color w:val="FFFFFF" w:themeColor="background1"/>
                          <w:spacing w:val="40"/>
                          <w:sz w:val="52"/>
                          <w:szCs w:val="52"/>
                        </w:rPr>
                        <w:t>South Dartmoor</w:t>
                      </w:r>
                      <w:r w:rsidR="00CC795B">
                        <w:rPr>
                          <w:rFonts w:ascii="Elephant" w:hAnsi="Elephant"/>
                          <w:b/>
                          <w:color w:val="FFFFFF" w:themeColor="background1"/>
                          <w:spacing w:val="40"/>
                          <w:sz w:val="52"/>
                          <w:szCs w:val="52"/>
                        </w:rPr>
                        <w:t xml:space="preserve"> – Supporting Transgender Children</w:t>
                      </w:r>
                    </w:p>
                  </w:txbxContent>
                </v:textbox>
                <w10:wrap anchorx="page"/>
              </v:shape>
            </w:pict>
          </mc:Fallback>
        </mc:AlternateContent>
      </w:r>
      <w:r>
        <w:rPr>
          <w:noProof/>
          <w:lang w:eastAsia="en-GB"/>
        </w:rPr>
        <mc:AlternateContent>
          <mc:Choice Requires="wps">
            <w:drawing>
              <wp:anchor distT="0" distB="0" distL="114300" distR="114300" simplePos="0" relativeHeight="251659264" behindDoc="0" locked="0" layoutInCell="1" allowOverlap="1" wp14:anchorId="6A8D1823" wp14:editId="41E3DEA4">
                <wp:simplePos x="0" y="0"/>
                <wp:positionH relativeFrom="margin">
                  <wp:posOffset>-876300</wp:posOffset>
                </wp:positionH>
                <wp:positionV relativeFrom="paragraph">
                  <wp:posOffset>-866775</wp:posOffset>
                </wp:positionV>
                <wp:extent cx="8105775" cy="11334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8105775" cy="1133475"/>
                        </a:xfrm>
                        <a:prstGeom prst="rect">
                          <a:avLst/>
                        </a:prstGeom>
                        <a:solidFill>
                          <a:srgbClr val="4CBAC0"/>
                        </a:solidFill>
                        <a:ln>
                          <a:solidFill>
                            <a:srgbClr val="4CBA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990A0E" id="Rectangle 1" o:spid="_x0000_s1026" style="position:absolute;margin-left:-69pt;margin-top:-68.25pt;width:638.25pt;height:8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" fillcolor="#4cbac0" strokecolor="#4cbac0" strokeweight="1pt">
                <w10:wrap anchorx="margin"/>
              </v:rect>
            </w:pict>
          </mc:Fallback>
        </mc:AlternateContent>
      </w:r>
    </w:p>
    <w:p w:rsidR="00E9202B" w:rsidRPr="00A946B6" w:rsidRDefault="00E9202B" w:rsidP="00E9202B">
      <w:pPr>
        <w:shd w:val="clear" w:color="auto" w:fill="E7E6E6" w:themeFill="background2"/>
        <w:ind w:left="720" w:firstLine="720"/>
        <w:jc w:val="center"/>
        <w:rPr>
          <w:rFonts w:ascii="Arial" w:hAnsi="Arial" w:cs="Arial"/>
          <w:b/>
          <w:sz w:val="28"/>
          <w:szCs w:val="28"/>
        </w:rPr>
      </w:pPr>
      <w:r w:rsidRPr="00A946B6">
        <w:rPr>
          <w:rFonts w:ascii="Arial" w:hAnsi="Arial" w:cs="Arial"/>
          <w:b/>
          <w:sz w:val="28"/>
          <w:szCs w:val="28"/>
        </w:rPr>
        <w:t>ONE MINUTE GUIDE</w:t>
      </w:r>
    </w:p>
    <w:p w:rsidR="00162F01" w:rsidRDefault="00162F01" w:rsidP="00162F01">
      <w:pPr>
        <w:pStyle w:val="Default"/>
      </w:pPr>
    </w:p>
    <w:p w:rsidR="00162F01" w:rsidRPr="000F61A2" w:rsidRDefault="00162F01" w:rsidP="00121DF7">
      <w:pPr>
        <w:pStyle w:val="Default"/>
        <w:numPr>
          <w:ilvl w:val="0"/>
          <w:numId w:val="7"/>
        </w:numPr>
        <w:jc w:val="both"/>
        <w:rPr>
          <w:rFonts w:asciiTheme="minorHAnsi" w:hAnsiTheme="minorHAnsi"/>
          <w:b/>
          <w:sz w:val="20"/>
          <w:szCs w:val="20"/>
        </w:rPr>
      </w:pPr>
      <w:r w:rsidRPr="000F61A2">
        <w:rPr>
          <w:rFonts w:asciiTheme="minorHAnsi" w:hAnsiTheme="minorHAnsi"/>
          <w:b/>
          <w:sz w:val="20"/>
          <w:szCs w:val="20"/>
        </w:rPr>
        <w:t xml:space="preserve">What is gender identity? </w:t>
      </w:r>
      <w:bookmarkStart w:id="0" w:name="_GoBack"/>
      <w:bookmarkEnd w:id="0"/>
    </w:p>
    <w:p w:rsidR="00162F01" w:rsidRPr="000F61A2" w:rsidRDefault="00162F01" w:rsidP="00121DF7">
      <w:pPr>
        <w:pStyle w:val="Default"/>
        <w:jc w:val="both"/>
        <w:rPr>
          <w:rFonts w:asciiTheme="minorHAnsi" w:hAnsiTheme="minorHAnsi"/>
          <w:sz w:val="20"/>
          <w:szCs w:val="20"/>
        </w:rPr>
      </w:pPr>
    </w:p>
    <w:p w:rsidR="00162F01" w:rsidRPr="000F61A2" w:rsidRDefault="00162F01" w:rsidP="00121DF7">
      <w:pPr>
        <w:pStyle w:val="Default"/>
        <w:jc w:val="both"/>
        <w:rPr>
          <w:rFonts w:asciiTheme="minorHAnsi" w:hAnsiTheme="minorHAnsi"/>
          <w:sz w:val="20"/>
          <w:szCs w:val="20"/>
        </w:rPr>
      </w:pPr>
      <w:r w:rsidRPr="000F61A2">
        <w:rPr>
          <w:rFonts w:asciiTheme="minorHAnsi" w:hAnsiTheme="minorHAnsi"/>
          <w:sz w:val="20"/>
          <w:szCs w:val="20"/>
        </w:rPr>
        <w:t>For some people, it is not appropriate to think of gender identity as being totally female or totally male. They may consider their gender identity to be fluid, partially male and partially female or they may consider themselves to be ungendered. When the person experiences a discomfort or distress at the mismatch between their gender identity and physical sex it is referred to as gender dysphoria. The important thing is to validate the young person’s identity as it is now and support any changes that may arise as they come to explore their gender identity further.</w:t>
      </w:r>
    </w:p>
    <w:p w:rsidR="00162F01" w:rsidRPr="000F61A2" w:rsidRDefault="00162F01" w:rsidP="00121DF7">
      <w:pPr>
        <w:pStyle w:val="Default"/>
        <w:jc w:val="both"/>
        <w:rPr>
          <w:rFonts w:asciiTheme="minorHAnsi" w:hAnsiTheme="minorHAnsi"/>
          <w:sz w:val="20"/>
          <w:szCs w:val="20"/>
        </w:rPr>
      </w:pPr>
    </w:p>
    <w:p w:rsidR="00162F01" w:rsidRPr="000F61A2" w:rsidRDefault="00162F01" w:rsidP="00121DF7">
      <w:pPr>
        <w:pStyle w:val="Default"/>
        <w:numPr>
          <w:ilvl w:val="0"/>
          <w:numId w:val="7"/>
        </w:numPr>
        <w:jc w:val="both"/>
        <w:rPr>
          <w:rFonts w:asciiTheme="minorHAnsi" w:hAnsiTheme="minorHAnsi"/>
          <w:b/>
          <w:sz w:val="20"/>
          <w:szCs w:val="20"/>
        </w:rPr>
      </w:pPr>
      <w:r w:rsidRPr="000F61A2">
        <w:rPr>
          <w:rFonts w:asciiTheme="minorHAnsi" w:hAnsiTheme="minorHAnsi"/>
          <w:b/>
          <w:sz w:val="20"/>
          <w:szCs w:val="20"/>
        </w:rPr>
        <w:t xml:space="preserve">Transgender/Trans/trans </w:t>
      </w:r>
    </w:p>
    <w:p w:rsidR="00162F01" w:rsidRPr="000F61A2" w:rsidRDefault="00162F01" w:rsidP="00121DF7">
      <w:pPr>
        <w:pStyle w:val="Default"/>
        <w:jc w:val="both"/>
        <w:rPr>
          <w:rFonts w:asciiTheme="minorHAnsi" w:hAnsiTheme="minorHAnsi"/>
          <w:sz w:val="20"/>
          <w:szCs w:val="20"/>
        </w:rPr>
      </w:pPr>
    </w:p>
    <w:p w:rsidR="00162F01" w:rsidRPr="000F61A2" w:rsidRDefault="00162F01" w:rsidP="00121DF7">
      <w:pPr>
        <w:pStyle w:val="Default"/>
        <w:jc w:val="both"/>
        <w:rPr>
          <w:rFonts w:asciiTheme="minorHAnsi" w:hAnsiTheme="minorHAnsi"/>
          <w:sz w:val="20"/>
          <w:szCs w:val="20"/>
        </w:rPr>
      </w:pPr>
      <w:r w:rsidRPr="000F61A2">
        <w:rPr>
          <w:rFonts w:asciiTheme="minorHAnsi" w:hAnsiTheme="minorHAnsi"/>
          <w:sz w:val="20"/>
          <w:szCs w:val="20"/>
        </w:rPr>
        <w:t xml:space="preserve">These are umbrella terms used to describe people who identify as: </w:t>
      </w:r>
    </w:p>
    <w:p w:rsidR="00162F01" w:rsidRPr="000F61A2" w:rsidRDefault="00162F01" w:rsidP="00121DF7">
      <w:pPr>
        <w:pStyle w:val="Default"/>
        <w:jc w:val="both"/>
        <w:rPr>
          <w:rFonts w:asciiTheme="minorHAnsi" w:hAnsiTheme="minorHAnsi"/>
          <w:sz w:val="20"/>
          <w:szCs w:val="20"/>
        </w:rPr>
      </w:pPr>
    </w:p>
    <w:p w:rsidR="00162F01" w:rsidRPr="000F61A2" w:rsidRDefault="00162F01" w:rsidP="00121DF7">
      <w:pPr>
        <w:pStyle w:val="Default"/>
        <w:numPr>
          <w:ilvl w:val="0"/>
          <w:numId w:val="6"/>
        </w:numPr>
        <w:spacing w:after="29"/>
        <w:jc w:val="both"/>
        <w:rPr>
          <w:rFonts w:asciiTheme="minorHAnsi" w:hAnsiTheme="minorHAnsi"/>
          <w:color w:val="auto"/>
          <w:sz w:val="20"/>
          <w:szCs w:val="20"/>
        </w:rPr>
      </w:pPr>
      <w:r w:rsidRPr="000F61A2">
        <w:rPr>
          <w:rFonts w:asciiTheme="minorHAnsi" w:hAnsiTheme="minorHAnsi"/>
          <w:sz w:val="20"/>
          <w:szCs w:val="20"/>
        </w:rPr>
        <w:t xml:space="preserve">Transgender </w:t>
      </w:r>
      <w:r w:rsidR="00000364" w:rsidRPr="000F61A2">
        <w:rPr>
          <w:rFonts w:asciiTheme="minorHAnsi" w:hAnsiTheme="minorHAnsi"/>
          <w:color w:val="auto"/>
          <w:sz w:val="20"/>
          <w:szCs w:val="20"/>
        </w:rPr>
        <w:t>(gender expression that differs from assigned sex)</w:t>
      </w:r>
    </w:p>
    <w:p w:rsidR="00162F01" w:rsidRPr="000F61A2" w:rsidRDefault="00162F01" w:rsidP="00121DF7">
      <w:pPr>
        <w:pStyle w:val="Default"/>
        <w:numPr>
          <w:ilvl w:val="0"/>
          <w:numId w:val="6"/>
        </w:numPr>
        <w:spacing w:after="29"/>
        <w:jc w:val="both"/>
        <w:rPr>
          <w:rFonts w:asciiTheme="minorHAnsi" w:hAnsiTheme="minorHAnsi"/>
          <w:color w:val="auto"/>
          <w:sz w:val="20"/>
          <w:szCs w:val="20"/>
        </w:rPr>
      </w:pPr>
      <w:r w:rsidRPr="000F61A2">
        <w:rPr>
          <w:rFonts w:asciiTheme="minorHAnsi" w:hAnsiTheme="minorHAnsi"/>
          <w:color w:val="auto"/>
          <w:sz w:val="20"/>
          <w:szCs w:val="20"/>
        </w:rPr>
        <w:t xml:space="preserve">Transsexual </w:t>
      </w:r>
      <w:r w:rsidR="00000364" w:rsidRPr="000F61A2">
        <w:rPr>
          <w:rFonts w:asciiTheme="minorHAnsi" w:hAnsiTheme="minorHAnsi"/>
          <w:color w:val="auto"/>
          <w:sz w:val="20"/>
          <w:szCs w:val="20"/>
        </w:rPr>
        <w:t>(people whose gendered identity differs from their assigned sex and who actively seek a transition into the gender they feel identify with normally by following medical treatment)</w:t>
      </w:r>
    </w:p>
    <w:p w:rsidR="00162F01" w:rsidRPr="000F61A2" w:rsidRDefault="00162F01" w:rsidP="00121DF7">
      <w:pPr>
        <w:pStyle w:val="Default"/>
        <w:numPr>
          <w:ilvl w:val="0"/>
          <w:numId w:val="6"/>
        </w:numPr>
        <w:spacing w:after="29"/>
        <w:jc w:val="both"/>
        <w:rPr>
          <w:rFonts w:asciiTheme="minorHAnsi" w:hAnsiTheme="minorHAnsi"/>
          <w:color w:val="auto"/>
          <w:sz w:val="20"/>
          <w:szCs w:val="20"/>
        </w:rPr>
      </w:pPr>
      <w:r w:rsidRPr="000F61A2">
        <w:rPr>
          <w:rFonts w:asciiTheme="minorHAnsi" w:hAnsiTheme="minorHAnsi"/>
          <w:sz w:val="20"/>
          <w:szCs w:val="20"/>
        </w:rPr>
        <w:t>Transvestite (a person who wears t</w:t>
      </w:r>
      <w:r w:rsidR="00000364" w:rsidRPr="000F61A2">
        <w:rPr>
          <w:rFonts w:asciiTheme="minorHAnsi" w:hAnsiTheme="minorHAnsi"/>
          <w:sz w:val="20"/>
          <w:szCs w:val="20"/>
        </w:rPr>
        <w:t>he clothes of the opposite sex</w:t>
      </w:r>
      <w:r w:rsidR="00000364" w:rsidRPr="000F61A2">
        <w:rPr>
          <w:rFonts w:asciiTheme="minorHAnsi" w:hAnsiTheme="minorHAnsi"/>
          <w:color w:val="auto"/>
          <w:sz w:val="20"/>
          <w:szCs w:val="20"/>
        </w:rPr>
        <w:t xml:space="preserve">, </w:t>
      </w:r>
      <w:r w:rsidR="00000364" w:rsidRPr="000F61A2">
        <w:rPr>
          <w:rFonts w:asciiTheme="minorHAnsi" w:hAnsiTheme="minorHAnsi" w:cs="Arial"/>
          <w:color w:val="auto"/>
          <w:sz w:val="20"/>
          <w:szCs w:val="20"/>
          <w:lang w:val="en"/>
        </w:rPr>
        <w:t>and acts in that manner</w:t>
      </w:r>
      <w:r w:rsidRPr="000F61A2">
        <w:rPr>
          <w:rFonts w:asciiTheme="minorHAnsi" w:hAnsiTheme="minorHAnsi"/>
          <w:color w:val="auto"/>
          <w:sz w:val="20"/>
          <w:szCs w:val="20"/>
        </w:rPr>
        <w:t xml:space="preserve">) </w:t>
      </w:r>
    </w:p>
    <w:p w:rsidR="00162F01" w:rsidRPr="006C10B9" w:rsidRDefault="00000364" w:rsidP="00850080">
      <w:pPr>
        <w:pStyle w:val="Default"/>
        <w:numPr>
          <w:ilvl w:val="0"/>
          <w:numId w:val="6"/>
        </w:numPr>
        <w:spacing w:after="29"/>
        <w:jc w:val="both"/>
        <w:rPr>
          <w:rFonts w:asciiTheme="minorHAnsi" w:hAnsiTheme="minorHAnsi"/>
          <w:sz w:val="20"/>
          <w:szCs w:val="20"/>
        </w:rPr>
      </w:pPr>
      <w:r w:rsidRPr="006C10B9">
        <w:rPr>
          <w:rFonts w:asciiTheme="minorHAnsi" w:hAnsiTheme="minorHAnsi"/>
          <w:color w:val="auto"/>
          <w:sz w:val="20"/>
          <w:szCs w:val="20"/>
        </w:rPr>
        <w:t xml:space="preserve">Intersex </w:t>
      </w:r>
      <w:r w:rsidRPr="006C10B9">
        <w:rPr>
          <w:rFonts w:asciiTheme="minorHAnsi" w:hAnsiTheme="minorHAnsi" w:cs="Arial"/>
          <w:color w:val="auto"/>
          <w:sz w:val="20"/>
          <w:szCs w:val="20"/>
          <w:lang w:val="en"/>
        </w:rPr>
        <w:t xml:space="preserve">refers to someone who is born with genital ambiguity. </w:t>
      </w:r>
    </w:p>
    <w:p w:rsidR="00162F01" w:rsidRPr="000F61A2" w:rsidRDefault="00162F01" w:rsidP="00121DF7">
      <w:pPr>
        <w:pStyle w:val="Default"/>
        <w:numPr>
          <w:ilvl w:val="0"/>
          <w:numId w:val="5"/>
        </w:numPr>
        <w:spacing w:after="29"/>
        <w:jc w:val="both"/>
        <w:rPr>
          <w:rFonts w:asciiTheme="minorHAnsi" w:hAnsiTheme="minorHAnsi"/>
          <w:color w:val="auto"/>
          <w:sz w:val="20"/>
          <w:szCs w:val="20"/>
        </w:rPr>
      </w:pPr>
      <w:r w:rsidRPr="000F61A2">
        <w:rPr>
          <w:rFonts w:asciiTheme="minorHAnsi" w:hAnsiTheme="minorHAnsi"/>
          <w:sz w:val="20"/>
          <w:szCs w:val="20"/>
        </w:rPr>
        <w:t>Non-B</w:t>
      </w:r>
      <w:r w:rsidR="00B24490" w:rsidRPr="000F61A2">
        <w:rPr>
          <w:rFonts w:asciiTheme="minorHAnsi" w:hAnsiTheme="minorHAnsi"/>
          <w:sz w:val="20"/>
          <w:szCs w:val="20"/>
        </w:rPr>
        <w:t xml:space="preserve">inary (Neither male nor female). </w:t>
      </w:r>
      <w:r w:rsidR="00B24490" w:rsidRPr="000F61A2">
        <w:rPr>
          <w:rFonts w:asciiTheme="minorHAnsi" w:hAnsiTheme="minorHAnsi"/>
          <w:color w:val="auto"/>
          <w:sz w:val="20"/>
          <w:szCs w:val="20"/>
        </w:rPr>
        <w:t>This can be either a transitional gender status or a permanent one depending on the person.</w:t>
      </w:r>
    </w:p>
    <w:p w:rsidR="00162F01" w:rsidRPr="000F61A2" w:rsidRDefault="00162F01" w:rsidP="00121DF7">
      <w:pPr>
        <w:pStyle w:val="Default"/>
        <w:numPr>
          <w:ilvl w:val="0"/>
          <w:numId w:val="5"/>
        </w:numPr>
        <w:spacing w:after="29"/>
        <w:jc w:val="both"/>
        <w:rPr>
          <w:rFonts w:asciiTheme="minorHAnsi" w:hAnsiTheme="minorHAnsi"/>
          <w:sz w:val="20"/>
          <w:szCs w:val="20"/>
        </w:rPr>
      </w:pPr>
      <w:r w:rsidRPr="000F61A2">
        <w:rPr>
          <w:rFonts w:asciiTheme="minorHAnsi" w:hAnsiTheme="minorHAnsi"/>
          <w:sz w:val="20"/>
          <w:szCs w:val="20"/>
        </w:rPr>
        <w:t xml:space="preserve">Gender fluid (gender changes between male and female repeatedly) </w:t>
      </w:r>
    </w:p>
    <w:p w:rsidR="00162F01" w:rsidRPr="000F61A2" w:rsidRDefault="00162F01" w:rsidP="00121DF7">
      <w:pPr>
        <w:pStyle w:val="Default"/>
        <w:numPr>
          <w:ilvl w:val="0"/>
          <w:numId w:val="6"/>
        </w:numPr>
        <w:spacing w:after="29"/>
        <w:jc w:val="both"/>
        <w:rPr>
          <w:rFonts w:asciiTheme="minorHAnsi" w:hAnsiTheme="minorHAnsi"/>
          <w:sz w:val="20"/>
          <w:szCs w:val="20"/>
        </w:rPr>
      </w:pPr>
      <w:r w:rsidRPr="000F61A2">
        <w:rPr>
          <w:rFonts w:asciiTheme="minorHAnsi" w:hAnsiTheme="minorHAnsi"/>
          <w:sz w:val="20"/>
          <w:szCs w:val="20"/>
        </w:rPr>
        <w:t xml:space="preserve">Androgynous (partly male and female in appearance) </w:t>
      </w:r>
    </w:p>
    <w:p w:rsidR="00162F01" w:rsidRPr="000F61A2" w:rsidRDefault="00B24490" w:rsidP="00121DF7">
      <w:pPr>
        <w:pStyle w:val="Default"/>
        <w:numPr>
          <w:ilvl w:val="0"/>
          <w:numId w:val="6"/>
        </w:numPr>
        <w:spacing w:after="29"/>
        <w:jc w:val="both"/>
        <w:rPr>
          <w:rFonts w:asciiTheme="minorHAnsi" w:hAnsiTheme="minorHAnsi"/>
          <w:color w:val="auto"/>
          <w:sz w:val="20"/>
          <w:szCs w:val="20"/>
        </w:rPr>
      </w:pPr>
      <w:r w:rsidRPr="000F61A2">
        <w:rPr>
          <w:rFonts w:asciiTheme="minorHAnsi" w:hAnsiTheme="minorHAnsi"/>
          <w:sz w:val="20"/>
          <w:szCs w:val="20"/>
        </w:rPr>
        <w:t xml:space="preserve">A third gender, where </w:t>
      </w:r>
      <w:r w:rsidRPr="000F61A2">
        <w:rPr>
          <w:rStyle w:val="tgc"/>
          <w:rFonts w:asciiTheme="minorHAnsi" w:hAnsiTheme="minorHAnsi" w:cs="Arial"/>
          <w:color w:val="auto"/>
          <w:sz w:val="20"/>
          <w:szCs w:val="20"/>
        </w:rPr>
        <w:t>individuals are categorized, either by themselves o</w:t>
      </w:r>
      <w:r w:rsidR="000F61A2" w:rsidRPr="000F61A2">
        <w:rPr>
          <w:rStyle w:val="tgc"/>
          <w:rFonts w:asciiTheme="minorHAnsi" w:hAnsiTheme="minorHAnsi" w:cs="Arial"/>
          <w:color w:val="auto"/>
          <w:sz w:val="20"/>
          <w:szCs w:val="20"/>
        </w:rPr>
        <w:t>r by society, as neither man or</w:t>
      </w:r>
      <w:r w:rsidRPr="000F61A2">
        <w:rPr>
          <w:rStyle w:val="tgc"/>
          <w:rFonts w:asciiTheme="minorHAnsi" w:hAnsiTheme="minorHAnsi" w:cs="Arial"/>
          <w:color w:val="auto"/>
          <w:sz w:val="20"/>
          <w:szCs w:val="20"/>
        </w:rPr>
        <w:t xml:space="preserve"> wo</w:t>
      </w:r>
      <w:r w:rsidR="000F61A2" w:rsidRPr="000F61A2">
        <w:rPr>
          <w:rStyle w:val="tgc"/>
          <w:rFonts w:asciiTheme="minorHAnsi" w:hAnsiTheme="minorHAnsi" w:cs="Arial"/>
          <w:color w:val="auto"/>
          <w:sz w:val="20"/>
          <w:szCs w:val="20"/>
        </w:rPr>
        <w:t xml:space="preserve">man. </w:t>
      </w:r>
      <w:r w:rsidRPr="000F61A2">
        <w:rPr>
          <w:rStyle w:val="tgc"/>
          <w:rFonts w:asciiTheme="minorHAnsi" w:hAnsiTheme="minorHAnsi" w:cs="Arial"/>
          <w:color w:val="auto"/>
          <w:sz w:val="20"/>
          <w:szCs w:val="20"/>
        </w:rPr>
        <w:t xml:space="preserve">The term </w:t>
      </w:r>
      <w:r w:rsidRPr="000F61A2">
        <w:rPr>
          <w:rStyle w:val="tgc"/>
          <w:rFonts w:asciiTheme="minorHAnsi" w:hAnsiTheme="minorHAnsi" w:cs="Arial"/>
          <w:bCs/>
          <w:color w:val="auto"/>
          <w:sz w:val="20"/>
          <w:szCs w:val="20"/>
        </w:rPr>
        <w:t>third</w:t>
      </w:r>
      <w:r w:rsidRPr="000F61A2">
        <w:rPr>
          <w:rStyle w:val="tgc"/>
          <w:rFonts w:asciiTheme="minorHAnsi" w:hAnsiTheme="minorHAnsi" w:cs="Arial"/>
          <w:color w:val="auto"/>
          <w:sz w:val="20"/>
          <w:szCs w:val="20"/>
        </w:rPr>
        <w:t xml:space="preserve"> is usually understood to mean "other"</w:t>
      </w:r>
    </w:p>
    <w:p w:rsidR="00162F01" w:rsidRPr="000F61A2" w:rsidRDefault="00162F01" w:rsidP="00121DF7">
      <w:pPr>
        <w:pStyle w:val="Default"/>
        <w:numPr>
          <w:ilvl w:val="0"/>
          <w:numId w:val="6"/>
        </w:numPr>
        <w:jc w:val="both"/>
        <w:rPr>
          <w:rFonts w:asciiTheme="minorHAnsi" w:hAnsiTheme="minorHAnsi"/>
          <w:sz w:val="20"/>
          <w:szCs w:val="20"/>
        </w:rPr>
      </w:pPr>
      <w:r w:rsidRPr="000F61A2">
        <w:rPr>
          <w:rFonts w:asciiTheme="minorHAnsi" w:hAnsiTheme="minorHAnsi"/>
          <w:sz w:val="20"/>
          <w:szCs w:val="20"/>
        </w:rPr>
        <w:t>Or who have a gender identity which we do</w:t>
      </w:r>
      <w:r w:rsidR="00B24490" w:rsidRPr="000F61A2">
        <w:rPr>
          <w:rFonts w:asciiTheme="minorHAnsi" w:hAnsiTheme="minorHAnsi"/>
          <w:sz w:val="20"/>
          <w:szCs w:val="20"/>
        </w:rPr>
        <w:t xml:space="preserve"> not yet have words to describe.</w:t>
      </w:r>
    </w:p>
    <w:p w:rsidR="00162F01" w:rsidRPr="000F61A2" w:rsidRDefault="00162F01" w:rsidP="00121DF7">
      <w:pPr>
        <w:pStyle w:val="Default"/>
        <w:jc w:val="both"/>
        <w:rPr>
          <w:rFonts w:asciiTheme="minorHAnsi" w:hAnsiTheme="minorHAnsi"/>
          <w:sz w:val="20"/>
          <w:szCs w:val="20"/>
        </w:rPr>
      </w:pPr>
    </w:p>
    <w:p w:rsidR="00162F01" w:rsidRPr="000F61A2" w:rsidRDefault="00162F01" w:rsidP="00121DF7">
      <w:pPr>
        <w:pStyle w:val="Default"/>
        <w:jc w:val="both"/>
        <w:rPr>
          <w:rFonts w:asciiTheme="minorHAnsi" w:hAnsiTheme="minorHAnsi"/>
          <w:sz w:val="20"/>
          <w:szCs w:val="20"/>
        </w:rPr>
      </w:pPr>
      <w:r w:rsidRPr="000F61A2">
        <w:rPr>
          <w:rFonts w:asciiTheme="minorHAnsi" w:hAnsiTheme="minorHAnsi"/>
          <w:b/>
          <w:sz w:val="20"/>
          <w:szCs w:val="20"/>
        </w:rPr>
        <w:t>Transgender Person</w:t>
      </w:r>
      <w:r w:rsidRPr="000F61A2">
        <w:rPr>
          <w:rFonts w:asciiTheme="minorHAnsi" w:hAnsiTheme="minorHAnsi"/>
          <w:sz w:val="20"/>
          <w:szCs w:val="20"/>
        </w:rPr>
        <w:t xml:space="preserve">: A person whose gender identity is different from the sex they were assigned at birth. </w:t>
      </w:r>
      <w:r w:rsidRPr="000F61A2">
        <w:rPr>
          <w:rFonts w:asciiTheme="minorHAnsi" w:hAnsiTheme="minorHAnsi"/>
          <w:color w:val="auto"/>
          <w:sz w:val="20"/>
          <w:szCs w:val="20"/>
        </w:rPr>
        <w:t xml:space="preserve">Some transgender people will choose to transition socially and some will also take medical steps to physically transition (with the help of hormone therapy and/or surgery) to live in the gender role of their choice. </w:t>
      </w:r>
    </w:p>
    <w:p w:rsidR="003B13FD" w:rsidRPr="000F61A2" w:rsidRDefault="003B13FD" w:rsidP="00121DF7">
      <w:pPr>
        <w:pStyle w:val="Default"/>
        <w:jc w:val="both"/>
        <w:rPr>
          <w:rFonts w:asciiTheme="minorHAnsi" w:hAnsiTheme="minorHAnsi"/>
          <w:sz w:val="20"/>
          <w:szCs w:val="20"/>
        </w:rPr>
      </w:pPr>
    </w:p>
    <w:p w:rsidR="00B24490" w:rsidRPr="000F61A2" w:rsidRDefault="00162F01" w:rsidP="00121DF7">
      <w:pPr>
        <w:pStyle w:val="Default"/>
        <w:jc w:val="both"/>
        <w:rPr>
          <w:rFonts w:asciiTheme="minorHAnsi" w:hAnsiTheme="minorHAnsi"/>
          <w:sz w:val="20"/>
          <w:szCs w:val="20"/>
        </w:rPr>
      </w:pPr>
      <w:r w:rsidRPr="000F61A2">
        <w:rPr>
          <w:rFonts w:asciiTheme="minorHAnsi" w:hAnsiTheme="minorHAnsi"/>
          <w:b/>
          <w:sz w:val="20"/>
          <w:szCs w:val="20"/>
        </w:rPr>
        <w:t>Transsexual Person</w:t>
      </w:r>
      <w:r w:rsidRPr="000F61A2">
        <w:rPr>
          <w:rFonts w:asciiTheme="minorHAnsi" w:hAnsiTheme="minorHAnsi"/>
          <w:sz w:val="20"/>
          <w:szCs w:val="20"/>
        </w:rPr>
        <w:t xml:space="preserve">: A person with a consistent and overwhelming desire to transition and fulfil their life as the opposite gender. Most transsexual people actively desire and complete gender re-assignment surgery. </w:t>
      </w:r>
    </w:p>
    <w:p w:rsidR="00121DF7" w:rsidRPr="000F61A2" w:rsidRDefault="00121DF7" w:rsidP="00121DF7">
      <w:pPr>
        <w:pStyle w:val="Default"/>
        <w:jc w:val="both"/>
        <w:rPr>
          <w:rFonts w:asciiTheme="minorHAnsi" w:hAnsiTheme="minorHAnsi"/>
          <w:sz w:val="20"/>
          <w:szCs w:val="20"/>
        </w:rPr>
      </w:pPr>
    </w:p>
    <w:p w:rsidR="00162F01" w:rsidRPr="000F61A2" w:rsidRDefault="00162F01" w:rsidP="00121DF7">
      <w:pPr>
        <w:pStyle w:val="Default"/>
        <w:numPr>
          <w:ilvl w:val="0"/>
          <w:numId w:val="7"/>
        </w:numPr>
        <w:jc w:val="both"/>
        <w:rPr>
          <w:rFonts w:asciiTheme="minorHAnsi" w:hAnsiTheme="minorHAnsi"/>
          <w:b/>
          <w:sz w:val="20"/>
          <w:szCs w:val="20"/>
        </w:rPr>
      </w:pPr>
      <w:r w:rsidRPr="000F61A2">
        <w:rPr>
          <w:rFonts w:asciiTheme="minorHAnsi" w:hAnsiTheme="minorHAnsi"/>
          <w:b/>
          <w:sz w:val="20"/>
          <w:szCs w:val="20"/>
        </w:rPr>
        <w:t xml:space="preserve">Why is this important? </w:t>
      </w:r>
    </w:p>
    <w:p w:rsidR="00162F01" w:rsidRPr="000F61A2" w:rsidRDefault="00162F01" w:rsidP="00121DF7">
      <w:pPr>
        <w:tabs>
          <w:tab w:val="left" w:pos="3960"/>
        </w:tabs>
        <w:jc w:val="both"/>
        <w:rPr>
          <w:sz w:val="20"/>
          <w:szCs w:val="20"/>
        </w:rPr>
      </w:pPr>
      <w:r w:rsidRPr="000F61A2">
        <w:rPr>
          <w:sz w:val="20"/>
          <w:szCs w:val="20"/>
        </w:rPr>
        <w:t>Trans</w:t>
      </w:r>
      <w:r w:rsidR="000F61A2" w:rsidRPr="000F61A2">
        <w:rPr>
          <w:sz w:val="20"/>
          <w:szCs w:val="20"/>
        </w:rPr>
        <w:t>gender</w:t>
      </w:r>
      <w:r w:rsidRPr="000F61A2">
        <w:rPr>
          <w:sz w:val="20"/>
          <w:szCs w:val="20"/>
        </w:rPr>
        <w:t xml:space="preserve"> children and young people are a particularly vulnerable group. Someone whose gender presentation appears different from their biological sex could be vulnerable to transphobic bullying but could also suffer from homophobic or sexist and sexual bullying.</w:t>
      </w:r>
    </w:p>
    <w:p w:rsidR="003B13FD" w:rsidRPr="000F61A2" w:rsidRDefault="003B13FD" w:rsidP="000F61A2">
      <w:pPr>
        <w:pStyle w:val="Default"/>
        <w:numPr>
          <w:ilvl w:val="0"/>
          <w:numId w:val="8"/>
        </w:numPr>
        <w:jc w:val="both"/>
        <w:rPr>
          <w:rFonts w:asciiTheme="minorHAnsi" w:hAnsiTheme="minorHAnsi"/>
          <w:sz w:val="20"/>
          <w:szCs w:val="20"/>
        </w:rPr>
      </w:pPr>
      <w:r w:rsidRPr="000F61A2">
        <w:rPr>
          <w:rFonts w:asciiTheme="minorHAnsi" w:hAnsiTheme="minorHAnsi"/>
          <w:sz w:val="20"/>
          <w:szCs w:val="20"/>
        </w:rPr>
        <w:t xml:space="preserve">Seating plans - Students often report that boy-girl seating is the most frequent cause of stress. For non-binary students (those who identify as neither male nor female), such arrangements erase their gender entirely; therefore, avoid this method of seating pupils </w:t>
      </w:r>
    </w:p>
    <w:p w:rsidR="00121DF7" w:rsidRPr="000F61A2" w:rsidRDefault="00121DF7" w:rsidP="00121DF7">
      <w:pPr>
        <w:pStyle w:val="Default"/>
        <w:jc w:val="both"/>
        <w:rPr>
          <w:rFonts w:asciiTheme="minorHAnsi" w:hAnsiTheme="minorHAnsi"/>
          <w:sz w:val="20"/>
          <w:szCs w:val="20"/>
        </w:rPr>
      </w:pPr>
    </w:p>
    <w:p w:rsidR="003B13FD" w:rsidRPr="000F61A2" w:rsidRDefault="003B13FD" w:rsidP="000F61A2">
      <w:pPr>
        <w:pStyle w:val="Default"/>
        <w:numPr>
          <w:ilvl w:val="0"/>
          <w:numId w:val="8"/>
        </w:numPr>
        <w:jc w:val="both"/>
        <w:rPr>
          <w:rFonts w:asciiTheme="minorHAnsi" w:hAnsiTheme="minorHAnsi"/>
          <w:sz w:val="20"/>
          <w:szCs w:val="20"/>
        </w:rPr>
      </w:pPr>
      <w:r w:rsidRPr="000F61A2">
        <w:rPr>
          <w:rFonts w:asciiTheme="minorHAnsi" w:hAnsiTheme="minorHAnsi"/>
          <w:sz w:val="20"/>
          <w:szCs w:val="20"/>
        </w:rPr>
        <w:t xml:space="preserve">Recognise and challenge transphobia - Many schools are now appropriately challenging homophobic language, but we are less skilled at challenging – or even identifying – transphobia. Most common is students </w:t>
      </w:r>
      <w:proofErr w:type="spellStart"/>
      <w:r w:rsidRPr="000F61A2">
        <w:rPr>
          <w:rFonts w:asciiTheme="minorHAnsi" w:hAnsiTheme="minorHAnsi"/>
          <w:sz w:val="20"/>
          <w:szCs w:val="20"/>
        </w:rPr>
        <w:t>misgendering</w:t>
      </w:r>
      <w:proofErr w:type="spellEnd"/>
      <w:r w:rsidRPr="000F61A2">
        <w:rPr>
          <w:rFonts w:asciiTheme="minorHAnsi" w:hAnsiTheme="minorHAnsi"/>
          <w:sz w:val="20"/>
          <w:szCs w:val="20"/>
        </w:rPr>
        <w:t xml:space="preserve"> one </w:t>
      </w:r>
      <w:r w:rsidRPr="000F61A2">
        <w:rPr>
          <w:rFonts w:asciiTheme="minorHAnsi" w:hAnsiTheme="minorHAnsi"/>
          <w:color w:val="auto"/>
          <w:sz w:val="20"/>
          <w:szCs w:val="20"/>
        </w:rPr>
        <w:t>another as “banter</w:t>
      </w:r>
      <w:r w:rsidR="00B24490" w:rsidRPr="000F61A2">
        <w:rPr>
          <w:rFonts w:asciiTheme="minorHAnsi" w:hAnsiTheme="minorHAnsi"/>
          <w:color w:val="auto"/>
          <w:sz w:val="20"/>
          <w:szCs w:val="20"/>
        </w:rPr>
        <w:t>”</w:t>
      </w:r>
      <w:r w:rsidRPr="000F61A2">
        <w:rPr>
          <w:rFonts w:asciiTheme="minorHAnsi" w:hAnsiTheme="minorHAnsi"/>
          <w:color w:val="auto"/>
          <w:sz w:val="20"/>
          <w:szCs w:val="20"/>
        </w:rPr>
        <w:t xml:space="preserve">. </w:t>
      </w:r>
      <w:r w:rsidRPr="000F61A2">
        <w:rPr>
          <w:rFonts w:asciiTheme="minorHAnsi" w:hAnsiTheme="minorHAnsi"/>
          <w:sz w:val="20"/>
          <w:szCs w:val="20"/>
        </w:rPr>
        <w:t xml:space="preserve">The key is in educating students as to why this is harmful. Once explained, adopt a zero-tolerance policy on future transphobia. </w:t>
      </w:r>
    </w:p>
    <w:p w:rsidR="00121DF7" w:rsidRPr="000F61A2" w:rsidRDefault="00121DF7" w:rsidP="00121DF7">
      <w:pPr>
        <w:pStyle w:val="Default"/>
        <w:jc w:val="both"/>
        <w:rPr>
          <w:rFonts w:asciiTheme="minorHAnsi" w:hAnsiTheme="minorHAnsi"/>
          <w:sz w:val="20"/>
          <w:szCs w:val="20"/>
        </w:rPr>
      </w:pPr>
    </w:p>
    <w:p w:rsidR="003B13FD" w:rsidRPr="000F61A2" w:rsidRDefault="003B13FD" w:rsidP="000F61A2">
      <w:pPr>
        <w:pStyle w:val="Default"/>
        <w:numPr>
          <w:ilvl w:val="0"/>
          <w:numId w:val="8"/>
        </w:numPr>
        <w:jc w:val="both"/>
        <w:rPr>
          <w:rFonts w:asciiTheme="minorHAnsi" w:hAnsiTheme="minorHAnsi"/>
          <w:color w:val="auto"/>
          <w:sz w:val="20"/>
          <w:szCs w:val="20"/>
        </w:rPr>
      </w:pPr>
      <w:r w:rsidRPr="000F61A2">
        <w:rPr>
          <w:rFonts w:asciiTheme="minorHAnsi" w:hAnsiTheme="minorHAnsi"/>
          <w:sz w:val="20"/>
          <w:szCs w:val="20"/>
        </w:rPr>
        <w:t>Names - It’s important to honour students’ choices of name – for trans</w:t>
      </w:r>
      <w:r w:rsidR="000F61A2" w:rsidRPr="000F61A2">
        <w:rPr>
          <w:rFonts w:asciiTheme="minorHAnsi" w:hAnsiTheme="minorHAnsi"/>
          <w:sz w:val="20"/>
          <w:szCs w:val="20"/>
        </w:rPr>
        <w:t>gender</w:t>
      </w:r>
      <w:r w:rsidRPr="000F61A2">
        <w:rPr>
          <w:rFonts w:asciiTheme="minorHAnsi" w:hAnsiTheme="minorHAnsi"/>
          <w:sz w:val="20"/>
          <w:szCs w:val="20"/>
        </w:rPr>
        <w:t xml:space="preserve"> students, this sends the important message that you accept their identities unfailingly</w:t>
      </w:r>
      <w:r w:rsidRPr="000F61A2">
        <w:rPr>
          <w:rFonts w:asciiTheme="minorHAnsi" w:hAnsiTheme="minorHAnsi"/>
          <w:color w:val="auto"/>
          <w:sz w:val="20"/>
          <w:szCs w:val="20"/>
        </w:rPr>
        <w:t xml:space="preserve">. </w:t>
      </w:r>
      <w:r w:rsidR="00B24490" w:rsidRPr="000F61A2">
        <w:rPr>
          <w:rFonts w:asciiTheme="minorHAnsi" w:hAnsiTheme="minorHAnsi"/>
          <w:color w:val="auto"/>
          <w:sz w:val="20"/>
          <w:szCs w:val="20"/>
        </w:rPr>
        <w:t xml:space="preserve">In those cases, it is important that the </w:t>
      </w:r>
      <w:r w:rsidR="00B24490" w:rsidRPr="000F61A2">
        <w:rPr>
          <w:rFonts w:asciiTheme="minorHAnsi" w:hAnsiTheme="minorHAnsi"/>
          <w:color w:val="auto"/>
          <w:sz w:val="20"/>
          <w:szCs w:val="20"/>
        </w:rPr>
        <w:lastRenderedPageBreak/>
        <w:t>student feels free to ask to be addressed as a “he”, “s</w:t>
      </w:r>
      <w:r w:rsidR="000F61A2" w:rsidRPr="000F61A2">
        <w:rPr>
          <w:rFonts w:asciiTheme="minorHAnsi" w:hAnsiTheme="minorHAnsi"/>
          <w:color w:val="auto"/>
          <w:sz w:val="20"/>
          <w:szCs w:val="20"/>
        </w:rPr>
        <w:t xml:space="preserve">he” or by their own name. Transgender </w:t>
      </w:r>
      <w:r w:rsidR="00B24490" w:rsidRPr="000F61A2">
        <w:rPr>
          <w:rFonts w:asciiTheme="minorHAnsi" w:hAnsiTheme="minorHAnsi"/>
          <w:color w:val="auto"/>
          <w:sz w:val="20"/>
          <w:szCs w:val="20"/>
        </w:rPr>
        <w:t>student</w:t>
      </w:r>
      <w:r w:rsidR="000F61A2" w:rsidRPr="000F61A2">
        <w:rPr>
          <w:rFonts w:asciiTheme="minorHAnsi" w:hAnsiTheme="minorHAnsi"/>
          <w:color w:val="auto"/>
          <w:sz w:val="20"/>
          <w:szCs w:val="20"/>
        </w:rPr>
        <w:t>s will appreciate</w:t>
      </w:r>
      <w:r w:rsidR="00B24490" w:rsidRPr="000F61A2">
        <w:rPr>
          <w:rFonts w:asciiTheme="minorHAnsi" w:hAnsiTheme="minorHAnsi"/>
          <w:color w:val="auto"/>
          <w:sz w:val="20"/>
          <w:szCs w:val="20"/>
        </w:rPr>
        <w:t xml:space="preserve"> a member of staff asking kindly about how they would prefer to be addressed as.</w:t>
      </w:r>
    </w:p>
    <w:p w:rsidR="00121DF7" w:rsidRPr="000F61A2" w:rsidRDefault="00121DF7" w:rsidP="00121DF7">
      <w:pPr>
        <w:pStyle w:val="Default"/>
        <w:jc w:val="both"/>
        <w:rPr>
          <w:rFonts w:asciiTheme="minorHAnsi" w:hAnsiTheme="minorHAnsi"/>
          <w:sz w:val="20"/>
          <w:szCs w:val="20"/>
        </w:rPr>
      </w:pPr>
    </w:p>
    <w:p w:rsidR="003B13FD" w:rsidRPr="000F61A2" w:rsidRDefault="003B13FD" w:rsidP="000F61A2">
      <w:pPr>
        <w:pStyle w:val="Default"/>
        <w:numPr>
          <w:ilvl w:val="0"/>
          <w:numId w:val="8"/>
        </w:numPr>
        <w:jc w:val="both"/>
        <w:rPr>
          <w:rFonts w:asciiTheme="minorHAnsi" w:hAnsiTheme="minorHAnsi"/>
          <w:sz w:val="20"/>
          <w:szCs w:val="20"/>
        </w:rPr>
      </w:pPr>
      <w:r w:rsidRPr="000F61A2">
        <w:rPr>
          <w:rFonts w:asciiTheme="minorHAnsi" w:hAnsiTheme="minorHAnsi"/>
          <w:sz w:val="20"/>
          <w:szCs w:val="20"/>
        </w:rPr>
        <w:t xml:space="preserve">Ensure safe spaces for Trans students - Toilet and changing room access for Trans students can be difficult. In the short term schools can turn disabled toilets into gender neutral bathrooms to create a safe space. Long term a toilet specifically designated as a gender neutral toilet is generally best and something to be considered. </w:t>
      </w:r>
    </w:p>
    <w:p w:rsidR="00121DF7" w:rsidRPr="000F61A2" w:rsidRDefault="00121DF7" w:rsidP="00121DF7">
      <w:pPr>
        <w:pStyle w:val="Default"/>
        <w:jc w:val="both"/>
        <w:rPr>
          <w:rFonts w:asciiTheme="minorHAnsi" w:hAnsiTheme="minorHAnsi"/>
          <w:sz w:val="20"/>
          <w:szCs w:val="20"/>
        </w:rPr>
      </w:pPr>
    </w:p>
    <w:p w:rsidR="003B13FD" w:rsidRPr="000F61A2" w:rsidRDefault="003B13FD" w:rsidP="000F61A2">
      <w:pPr>
        <w:pStyle w:val="Default"/>
        <w:numPr>
          <w:ilvl w:val="0"/>
          <w:numId w:val="8"/>
        </w:numPr>
        <w:jc w:val="both"/>
        <w:rPr>
          <w:rFonts w:asciiTheme="minorHAnsi" w:hAnsiTheme="minorHAnsi"/>
          <w:sz w:val="20"/>
          <w:szCs w:val="20"/>
        </w:rPr>
      </w:pPr>
      <w:r w:rsidRPr="000F61A2">
        <w:rPr>
          <w:rFonts w:asciiTheme="minorHAnsi" w:hAnsiTheme="minorHAnsi"/>
          <w:sz w:val="20"/>
          <w:szCs w:val="20"/>
        </w:rPr>
        <w:t xml:space="preserve">Curriculum - Hearing about transgender people in lessons can provide trans and cisgender students alike with role models. </w:t>
      </w:r>
    </w:p>
    <w:p w:rsidR="00121DF7" w:rsidRPr="000F61A2" w:rsidRDefault="00121DF7" w:rsidP="00121DF7">
      <w:pPr>
        <w:pStyle w:val="Default"/>
        <w:jc w:val="both"/>
        <w:rPr>
          <w:rFonts w:asciiTheme="minorHAnsi" w:hAnsiTheme="minorHAnsi"/>
          <w:sz w:val="20"/>
          <w:szCs w:val="20"/>
        </w:rPr>
      </w:pPr>
    </w:p>
    <w:p w:rsidR="003B13FD" w:rsidRPr="000F61A2" w:rsidRDefault="003B13FD" w:rsidP="000F61A2">
      <w:pPr>
        <w:pStyle w:val="Default"/>
        <w:numPr>
          <w:ilvl w:val="0"/>
          <w:numId w:val="8"/>
        </w:numPr>
        <w:jc w:val="both"/>
        <w:rPr>
          <w:rFonts w:asciiTheme="minorHAnsi" w:hAnsiTheme="minorHAnsi"/>
          <w:sz w:val="20"/>
          <w:szCs w:val="20"/>
        </w:rPr>
      </w:pPr>
      <w:r w:rsidRPr="000F61A2">
        <w:rPr>
          <w:rFonts w:asciiTheme="minorHAnsi" w:hAnsiTheme="minorHAnsi"/>
          <w:sz w:val="20"/>
          <w:szCs w:val="20"/>
        </w:rPr>
        <w:t>Assembly and tutorial time - Use assembly and from time to raise awareness of key dates for the trans community.</w:t>
      </w:r>
    </w:p>
    <w:p w:rsidR="003B13FD" w:rsidRPr="000F61A2" w:rsidRDefault="003B13FD" w:rsidP="00121DF7">
      <w:pPr>
        <w:pStyle w:val="Default"/>
        <w:jc w:val="both"/>
        <w:rPr>
          <w:rFonts w:asciiTheme="minorHAnsi" w:hAnsiTheme="minorHAnsi"/>
          <w:b/>
          <w:sz w:val="20"/>
          <w:szCs w:val="20"/>
        </w:rPr>
      </w:pPr>
    </w:p>
    <w:p w:rsidR="003B13FD" w:rsidRPr="000F61A2" w:rsidRDefault="003B13FD" w:rsidP="00121DF7">
      <w:pPr>
        <w:pStyle w:val="Default"/>
        <w:numPr>
          <w:ilvl w:val="0"/>
          <w:numId w:val="7"/>
        </w:numPr>
        <w:jc w:val="both"/>
        <w:rPr>
          <w:rFonts w:asciiTheme="minorHAnsi" w:hAnsiTheme="minorHAnsi"/>
          <w:b/>
          <w:sz w:val="20"/>
          <w:szCs w:val="20"/>
        </w:rPr>
      </w:pPr>
      <w:r w:rsidRPr="000F61A2">
        <w:rPr>
          <w:rFonts w:asciiTheme="minorHAnsi" w:hAnsiTheme="minorHAnsi"/>
          <w:b/>
          <w:sz w:val="20"/>
          <w:szCs w:val="20"/>
        </w:rPr>
        <w:t>Support</w:t>
      </w:r>
      <w:r w:rsidR="000F61A2">
        <w:rPr>
          <w:rFonts w:asciiTheme="minorHAnsi" w:hAnsiTheme="minorHAnsi"/>
          <w:b/>
          <w:sz w:val="20"/>
          <w:szCs w:val="20"/>
        </w:rPr>
        <w:t xml:space="preserve"> and guidance</w:t>
      </w:r>
    </w:p>
    <w:p w:rsidR="00102E85" w:rsidRPr="000F61A2" w:rsidRDefault="00102E85" w:rsidP="00121DF7">
      <w:pPr>
        <w:pStyle w:val="Default"/>
        <w:jc w:val="both"/>
        <w:rPr>
          <w:rFonts w:asciiTheme="minorHAnsi" w:hAnsiTheme="minorHAnsi"/>
          <w:sz w:val="20"/>
          <w:szCs w:val="20"/>
        </w:rPr>
      </w:pPr>
    </w:p>
    <w:p w:rsidR="00121DF7" w:rsidRPr="000F61A2" w:rsidRDefault="00121DF7" w:rsidP="00121DF7">
      <w:pPr>
        <w:pStyle w:val="Default"/>
        <w:jc w:val="both"/>
        <w:rPr>
          <w:rFonts w:asciiTheme="minorHAnsi" w:hAnsiTheme="minorHAnsi"/>
          <w:sz w:val="20"/>
          <w:szCs w:val="20"/>
        </w:rPr>
      </w:pPr>
      <w:r w:rsidRPr="000F61A2">
        <w:rPr>
          <w:rFonts w:asciiTheme="minorHAnsi" w:hAnsiTheme="minorHAnsi"/>
          <w:sz w:val="20"/>
          <w:szCs w:val="20"/>
        </w:rPr>
        <w:t>Sexualities and gender equality community group</w:t>
      </w:r>
    </w:p>
    <w:p w:rsidR="00121DF7" w:rsidRPr="000F61A2" w:rsidRDefault="00121DF7" w:rsidP="00121DF7">
      <w:pPr>
        <w:pStyle w:val="Default"/>
        <w:jc w:val="both"/>
        <w:rPr>
          <w:rFonts w:asciiTheme="minorHAnsi" w:hAnsiTheme="minorHAnsi"/>
          <w:sz w:val="20"/>
          <w:szCs w:val="20"/>
        </w:rPr>
      </w:pPr>
    </w:p>
    <w:p w:rsidR="00102E85" w:rsidRPr="000F61A2" w:rsidRDefault="00102E85" w:rsidP="000F61A2">
      <w:pPr>
        <w:pStyle w:val="Default"/>
        <w:rPr>
          <w:rFonts w:asciiTheme="minorHAnsi" w:hAnsiTheme="minorHAnsi"/>
          <w:sz w:val="20"/>
          <w:szCs w:val="20"/>
        </w:rPr>
      </w:pPr>
      <w:r w:rsidRPr="000F61A2">
        <w:rPr>
          <w:noProof/>
          <w:sz w:val="20"/>
          <w:szCs w:val="20"/>
          <w:lang w:eastAsia="en-GB"/>
        </w:rPr>
        <w:drawing>
          <wp:inline distT="0" distB="0" distL="0" distR="0" wp14:anchorId="2CDB690A" wp14:editId="1930DDD8">
            <wp:extent cx="1274969" cy="1590675"/>
            <wp:effectExtent l="38100" t="38100" r="40005" b="2857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6"/>
                    <a:stretch>
                      <a:fillRect/>
                    </a:stretch>
                  </pic:blipFill>
                  <pic:spPr>
                    <a:xfrm>
                      <a:off x="0" y="0"/>
                      <a:ext cx="1303898" cy="1626767"/>
                    </a:xfrm>
                    <a:prstGeom prst="rect">
                      <a:avLst/>
                    </a:prstGeom>
                    <a:ln w="38100">
                      <a:solidFill>
                        <a:srgbClr val="FFFF00"/>
                      </a:solidFill>
                    </a:ln>
                  </pic:spPr>
                </pic:pic>
              </a:graphicData>
            </a:graphic>
          </wp:inline>
        </w:drawing>
      </w:r>
    </w:p>
    <w:p w:rsidR="00102E85" w:rsidRPr="000F61A2" w:rsidRDefault="00102E85" w:rsidP="00121DF7">
      <w:pPr>
        <w:pStyle w:val="Default"/>
        <w:jc w:val="both"/>
        <w:rPr>
          <w:rFonts w:asciiTheme="minorHAnsi" w:hAnsiTheme="minorHAnsi"/>
          <w:sz w:val="20"/>
          <w:szCs w:val="20"/>
        </w:rPr>
      </w:pPr>
    </w:p>
    <w:p w:rsidR="00102E85" w:rsidRPr="000F61A2" w:rsidRDefault="00102E85" w:rsidP="000F61A2">
      <w:pPr>
        <w:pStyle w:val="NormalWeb"/>
        <w:rPr>
          <w:rStyle w:val="Strong"/>
          <w:rFonts w:ascii="PT Sans" w:hAnsi="PT Sans"/>
          <w:color w:val="101010"/>
          <w:sz w:val="20"/>
          <w:szCs w:val="20"/>
        </w:rPr>
      </w:pPr>
      <w:r w:rsidRPr="000F61A2">
        <w:rPr>
          <w:rStyle w:val="Strong"/>
          <w:rFonts w:ascii="PT Sans" w:hAnsi="PT Sans"/>
          <w:noProof/>
          <w:color w:val="101010"/>
          <w:sz w:val="20"/>
          <w:szCs w:val="20"/>
        </w:rPr>
        <w:drawing>
          <wp:inline distT="0" distB="0" distL="0" distR="0">
            <wp:extent cx="1895475" cy="532437"/>
            <wp:effectExtent l="0" t="0" r="0" b="1270"/>
            <wp:docPr id="5" name="Picture 5" descr="C:\Users\dvile\Pictures\intercom2016-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vile\Pictures\intercom2016-0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8385" cy="541681"/>
                    </a:xfrm>
                    <a:prstGeom prst="rect">
                      <a:avLst/>
                    </a:prstGeom>
                    <a:noFill/>
                    <a:ln>
                      <a:noFill/>
                    </a:ln>
                  </pic:spPr>
                </pic:pic>
              </a:graphicData>
            </a:graphic>
          </wp:inline>
        </w:drawing>
      </w:r>
    </w:p>
    <w:p w:rsidR="00102E85" w:rsidRPr="000F61A2" w:rsidRDefault="000F61A2" w:rsidP="00121DF7">
      <w:pPr>
        <w:pStyle w:val="NormalWeb"/>
        <w:jc w:val="both"/>
        <w:rPr>
          <w:rFonts w:asciiTheme="minorHAnsi" w:hAnsiTheme="minorHAnsi"/>
          <w:color w:val="101010"/>
          <w:sz w:val="20"/>
          <w:szCs w:val="20"/>
        </w:rPr>
      </w:pPr>
      <w:r>
        <w:rPr>
          <w:rStyle w:val="Strong"/>
          <w:rFonts w:asciiTheme="minorHAnsi" w:hAnsiTheme="minorHAnsi"/>
          <w:b w:val="0"/>
          <w:color w:val="101010"/>
          <w:sz w:val="20"/>
          <w:szCs w:val="20"/>
        </w:rPr>
        <w:t xml:space="preserve">The </w:t>
      </w:r>
      <w:r w:rsidR="00102E85" w:rsidRPr="000F61A2">
        <w:rPr>
          <w:rStyle w:val="Strong"/>
          <w:rFonts w:asciiTheme="minorHAnsi" w:hAnsiTheme="minorHAnsi"/>
          <w:b w:val="0"/>
          <w:color w:val="101010"/>
          <w:sz w:val="20"/>
          <w:szCs w:val="20"/>
        </w:rPr>
        <w:t>Intercom Trust is a lesbian, gay, bisexual and trans community resource in Cornwall, Devon, Dorset and the wider South West.</w:t>
      </w:r>
    </w:p>
    <w:p w:rsidR="00102E85" w:rsidRPr="000F61A2" w:rsidRDefault="00121DF7" w:rsidP="00121DF7">
      <w:pPr>
        <w:pStyle w:val="NormalWeb"/>
        <w:jc w:val="both"/>
        <w:rPr>
          <w:rFonts w:asciiTheme="minorHAnsi" w:hAnsiTheme="minorHAnsi"/>
          <w:color w:val="101010"/>
          <w:sz w:val="20"/>
          <w:szCs w:val="20"/>
        </w:rPr>
      </w:pPr>
      <w:r w:rsidRPr="000F61A2">
        <w:rPr>
          <w:rFonts w:asciiTheme="minorHAnsi" w:hAnsiTheme="minorHAnsi"/>
          <w:color w:val="101010"/>
          <w:sz w:val="20"/>
          <w:szCs w:val="20"/>
        </w:rPr>
        <w:t>The trust</w:t>
      </w:r>
      <w:r w:rsidR="00102E85" w:rsidRPr="000F61A2">
        <w:rPr>
          <w:rFonts w:asciiTheme="minorHAnsi" w:hAnsiTheme="minorHAnsi"/>
          <w:color w:val="101010"/>
          <w:sz w:val="20"/>
          <w:szCs w:val="20"/>
        </w:rPr>
        <w:t xml:space="preserve"> provide help against homophobic and transphobic prejudice, crime and discrimination (including bullying, harassment, abuse, attacks, and threatening behaviour), helping to develop the LGBT communities, providing professional training and consultancy, and working in partnership with local government, the police, health and other organisations.</w:t>
      </w:r>
    </w:p>
    <w:p w:rsidR="00102E85" w:rsidRPr="000F61A2" w:rsidRDefault="00102E85" w:rsidP="00121DF7">
      <w:pPr>
        <w:pStyle w:val="Default"/>
        <w:jc w:val="both"/>
        <w:rPr>
          <w:rFonts w:asciiTheme="minorHAnsi" w:hAnsiTheme="minorHAnsi"/>
          <w:sz w:val="20"/>
          <w:szCs w:val="20"/>
        </w:rPr>
      </w:pPr>
      <w:r w:rsidRPr="000F61A2">
        <w:rPr>
          <w:rFonts w:asciiTheme="minorHAnsi" w:hAnsiTheme="minorHAnsi"/>
          <w:color w:val="101010"/>
          <w:sz w:val="20"/>
          <w:szCs w:val="20"/>
        </w:rPr>
        <w:t>Helpline 0800 612 3010</w:t>
      </w:r>
    </w:p>
    <w:sectPr w:rsidR="00102E85" w:rsidRPr="000F61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MS Reference Sans Serif">
    <w:altName w:val="MS Reference Sans Serif"/>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lephant">
    <w:panose1 w:val="0202090409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T 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06368"/>
    <w:multiLevelType w:val="hybridMultilevel"/>
    <w:tmpl w:val="5CE42898"/>
    <w:lvl w:ilvl="0" w:tplc="9A74DE00">
      <w:numFmt w:val="bullet"/>
      <w:lvlText w:val="•"/>
      <w:lvlJc w:val="left"/>
      <w:pPr>
        <w:ind w:left="720" w:hanging="360"/>
      </w:pPr>
      <w:rPr>
        <w:rFonts w:ascii="Calibri" w:eastAsiaTheme="minorHAnsi" w:hAnsi="Calibri" w:cs="MS Reference Sans Seri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AA1D8F"/>
    <w:multiLevelType w:val="hybridMultilevel"/>
    <w:tmpl w:val="5F28EB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36725E"/>
    <w:multiLevelType w:val="hybridMultilevel"/>
    <w:tmpl w:val="7DC2F05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EF38BF"/>
    <w:multiLevelType w:val="multilevel"/>
    <w:tmpl w:val="510E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CF255C"/>
    <w:multiLevelType w:val="hybridMultilevel"/>
    <w:tmpl w:val="C5443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4278D2"/>
    <w:multiLevelType w:val="hybridMultilevel"/>
    <w:tmpl w:val="4F60B06A"/>
    <w:lvl w:ilvl="0" w:tplc="A3BA838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A847B1E"/>
    <w:multiLevelType w:val="hybridMultilevel"/>
    <w:tmpl w:val="FD741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3B0C84"/>
    <w:multiLevelType w:val="hybridMultilevel"/>
    <w:tmpl w:val="A3AC9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2"/>
  </w:num>
  <w:num w:numId="5">
    <w:abstractNumId w:val="4"/>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4FD"/>
    <w:rsid w:val="00000364"/>
    <w:rsid w:val="00097583"/>
    <w:rsid w:val="000F61A2"/>
    <w:rsid w:val="00102E85"/>
    <w:rsid w:val="00121DF7"/>
    <w:rsid w:val="00162F01"/>
    <w:rsid w:val="002344FD"/>
    <w:rsid w:val="00272DF9"/>
    <w:rsid w:val="003B13FD"/>
    <w:rsid w:val="006C10B9"/>
    <w:rsid w:val="00A85128"/>
    <w:rsid w:val="00A946B6"/>
    <w:rsid w:val="00AA491A"/>
    <w:rsid w:val="00B24490"/>
    <w:rsid w:val="00B25851"/>
    <w:rsid w:val="00BD49DD"/>
    <w:rsid w:val="00C35B64"/>
    <w:rsid w:val="00C36A0C"/>
    <w:rsid w:val="00CC795B"/>
    <w:rsid w:val="00E92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CFF4E"/>
  <w15:docId w15:val="{E221EFE4-A405-4E72-BC24-1213A6C9B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4F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4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6A0C"/>
    <w:rPr>
      <w:color w:val="0563C1" w:themeColor="hyperlink"/>
      <w:u w:val="single"/>
    </w:rPr>
  </w:style>
  <w:style w:type="paragraph" w:styleId="ListParagraph">
    <w:name w:val="List Paragraph"/>
    <w:basedOn w:val="Normal"/>
    <w:uiPriority w:val="34"/>
    <w:qFormat/>
    <w:rsid w:val="00E9202B"/>
    <w:pPr>
      <w:ind w:left="720"/>
      <w:contextualSpacing/>
    </w:pPr>
  </w:style>
  <w:style w:type="paragraph" w:customStyle="1" w:styleId="Default">
    <w:name w:val="Default"/>
    <w:rsid w:val="00162F01"/>
    <w:pPr>
      <w:autoSpaceDE w:val="0"/>
      <w:autoSpaceDN w:val="0"/>
      <w:adjustRightInd w:val="0"/>
      <w:spacing w:after="0" w:line="240" w:lineRule="auto"/>
    </w:pPr>
    <w:rPr>
      <w:rFonts w:ascii="MS Reference Sans Serif" w:hAnsi="MS Reference Sans Serif" w:cs="MS Reference Sans Serif"/>
      <w:color w:val="000000"/>
      <w:sz w:val="24"/>
      <w:szCs w:val="24"/>
    </w:rPr>
  </w:style>
  <w:style w:type="character" w:styleId="Strong">
    <w:name w:val="Strong"/>
    <w:basedOn w:val="DefaultParagraphFont"/>
    <w:uiPriority w:val="22"/>
    <w:qFormat/>
    <w:rsid w:val="00102E85"/>
    <w:rPr>
      <w:b/>
      <w:bCs/>
    </w:rPr>
  </w:style>
  <w:style w:type="paragraph" w:styleId="NormalWeb">
    <w:name w:val="Normal (Web)"/>
    <w:basedOn w:val="Normal"/>
    <w:uiPriority w:val="99"/>
    <w:semiHidden/>
    <w:unhideWhenUsed/>
    <w:rsid w:val="00102E85"/>
    <w:pPr>
      <w:spacing w:after="180"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003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364"/>
    <w:rPr>
      <w:rFonts w:ascii="Tahoma" w:hAnsi="Tahoma" w:cs="Tahoma"/>
      <w:sz w:val="16"/>
      <w:szCs w:val="16"/>
    </w:rPr>
  </w:style>
  <w:style w:type="character" w:customStyle="1" w:styleId="tgc">
    <w:name w:val="_tgc"/>
    <w:basedOn w:val="DefaultParagraphFont"/>
    <w:rsid w:val="00B24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770552">
      <w:bodyDiv w:val="1"/>
      <w:marLeft w:val="0"/>
      <w:marRight w:val="0"/>
      <w:marTop w:val="0"/>
      <w:marBottom w:val="0"/>
      <w:divBdr>
        <w:top w:val="none" w:sz="0" w:space="0" w:color="auto"/>
        <w:left w:val="none" w:sz="0" w:space="0" w:color="auto"/>
        <w:bottom w:val="none" w:sz="0" w:space="0" w:color="auto"/>
        <w:right w:val="none" w:sz="0" w:space="0" w:color="auto"/>
      </w:divBdr>
      <w:divsChild>
        <w:div w:id="1573927540">
          <w:marLeft w:val="0"/>
          <w:marRight w:val="0"/>
          <w:marTop w:val="0"/>
          <w:marBottom w:val="0"/>
          <w:divBdr>
            <w:top w:val="none" w:sz="0" w:space="0" w:color="auto"/>
            <w:left w:val="none" w:sz="0" w:space="0" w:color="auto"/>
            <w:bottom w:val="none" w:sz="0" w:space="0" w:color="auto"/>
            <w:right w:val="none" w:sz="0" w:space="0" w:color="auto"/>
          </w:divBdr>
          <w:divsChild>
            <w:div w:id="469589181">
              <w:marLeft w:val="0"/>
              <w:marRight w:val="0"/>
              <w:marTop w:val="0"/>
              <w:marBottom w:val="0"/>
              <w:divBdr>
                <w:top w:val="none" w:sz="0" w:space="0" w:color="auto"/>
                <w:left w:val="none" w:sz="0" w:space="0" w:color="auto"/>
                <w:bottom w:val="none" w:sz="0" w:space="0" w:color="auto"/>
                <w:right w:val="none" w:sz="0" w:space="0" w:color="auto"/>
              </w:divBdr>
              <w:divsChild>
                <w:div w:id="1195342710">
                  <w:marLeft w:val="0"/>
                  <w:marRight w:val="0"/>
                  <w:marTop w:val="0"/>
                  <w:marBottom w:val="0"/>
                  <w:divBdr>
                    <w:top w:val="none" w:sz="0" w:space="0" w:color="auto"/>
                    <w:left w:val="none" w:sz="0" w:space="0" w:color="auto"/>
                    <w:bottom w:val="none" w:sz="0" w:space="0" w:color="auto"/>
                    <w:right w:val="none" w:sz="0" w:space="0" w:color="auto"/>
                  </w:divBdr>
                  <w:divsChild>
                    <w:div w:id="1468204404">
                      <w:marLeft w:val="0"/>
                      <w:marRight w:val="0"/>
                      <w:marTop w:val="0"/>
                      <w:marBottom w:val="0"/>
                      <w:divBdr>
                        <w:top w:val="none" w:sz="0" w:space="0" w:color="auto"/>
                        <w:left w:val="none" w:sz="0" w:space="0" w:color="auto"/>
                        <w:bottom w:val="none" w:sz="0" w:space="0" w:color="auto"/>
                        <w:right w:val="none" w:sz="0" w:space="0" w:color="auto"/>
                      </w:divBdr>
                      <w:divsChild>
                        <w:div w:id="1718511178">
                          <w:marLeft w:val="0"/>
                          <w:marRight w:val="0"/>
                          <w:marTop w:val="0"/>
                          <w:marBottom w:val="0"/>
                          <w:divBdr>
                            <w:top w:val="none" w:sz="0" w:space="0" w:color="auto"/>
                            <w:left w:val="none" w:sz="0" w:space="0" w:color="auto"/>
                            <w:bottom w:val="none" w:sz="0" w:space="0" w:color="auto"/>
                            <w:right w:val="none" w:sz="0" w:space="0" w:color="auto"/>
                          </w:divBdr>
                          <w:divsChild>
                            <w:div w:id="86777974">
                              <w:marLeft w:val="0"/>
                              <w:marRight w:val="0"/>
                              <w:marTop w:val="0"/>
                              <w:marBottom w:val="0"/>
                              <w:divBdr>
                                <w:top w:val="none" w:sz="0" w:space="0" w:color="auto"/>
                                <w:left w:val="none" w:sz="0" w:space="0" w:color="auto"/>
                                <w:bottom w:val="none" w:sz="0" w:space="0" w:color="auto"/>
                                <w:right w:val="none" w:sz="0" w:space="0" w:color="auto"/>
                              </w:divBdr>
                              <w:divsChild>
                                <w:div w:id="909191911">
                                  <w:marLeft w:val="0"/>
                                  <w:marRight w:val="0"/>
                                  <w:marTop w:val="0"/>
                                  <w:marBottom w:val="360"/>
                                  <w:divBdr>
                                    <w:top w:val="single" w:sz="6" w:space="6" w:color="DDDDDD"/>
                                    <w:left w:val="single" w:sz="6" w:space="6" w:color="DDDDDD"/>
                                    <w:bottom w:val="single" w:sz="6" w:space="6" w:color="DDDDDD"/>
                                    <w:right w:val="single" w:sz="6" w:space="6" w:color="DDDDDD"/>
                                  </w:divBdr>
                                  <w:divsChild>
                                    <w:div w:id="166979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2</Pages>
  <Words>694</Words>
  <Characters>3957</Characters>
  <Application>Microsoft Office Word</Application>
  <DocSecurity>0</DocSecurity>
  <Lines>32</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South Dartmoor Community College</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Vile, Daniel</dc:creator>
  <cp:lastModifiedBy>Vile, Daniel</cp:lastModifiedBy>
  <cp:revision>4</cp:revision>
  <dcterms:created xsi:type="dcterms:W3CDTF">2017-11-29T07:50:00Z</dcterms:created>
  <dcterms:modified xsi:type="dcterms:W3CDTF">2017-11-29T14:24:00Z</dcterms:modified>
</cp:coreProperties>
</file>